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3256" w:leader="none"/>
        </w:tabs>
        <w:spacing w:before="0" w:after="200" w:line="276"/>
        <w:ind w:right="0" w:left="0" w:firstLine="0"/>
        <w:jc w:val="right"/>
        <w:rPr>
          <w:rFonts w:ascii="Calibri" w:hAnsi="Calibri" w:cs="Calibri" w:eastAsia="Calibri"/>
          <w:color w:val="auto"/>
          <w:spacing w:val="0"/>
          <w:position w:val="0"/>
          <w:sz w:val="22"/>
          <w:shd w:fill="auto" w:val="clear"/>
        </w:rPr>
      </w:pPr>
    </w:p>
    <w:p>
      <w:pPr>
        <w:tabs>
          <w:tab w:val="left" w:pos="3256" w:leader="none"/>
        </w:tabs>
        <w:spacing w:before="0" w:after="200" w:line="276"/>
        <w:ind w:right="0" w:left="0" w:firstLine="0"/>
        <w:jc w:val="right"/>
        <w:rPr>
          <w:rFonts w:ascii="Calibri" w:hAnsi="Calibri" w:cs="Calibri" w:eastAsia="Calibri"/>
          <w:color w:val="auto"/>
          <w:spacing w:val="0"/>
          <w:position w:val="0"/>
          <w:sz w:val="22"/>
          <w:shd w:fill="auto" w:val="clear"/>
        </w:rPr>
      </w:pPr>
    </w:p>
    <w:p>
      <w:pPr>
        <w:tabs>
          <w:tab w:val="left" w:pos="3256" w:leader="none"/>
        </w:tabs>
        <w:spacing w:before="0" w:after="200" w:line="276"/>
        <w:ind w:right="0" w:left="0" w:firstLine="0"/>
        <w:jc w:val="right"/>
        <w:rPr>
          <w:rFonts w:ascii="Calibri" w:hAnsi="Calibri" w:cs="Calibri" w:eastAsia="Calibri"/>
          <w:color w:val="auto"/>
          <w:spacing w:val="0"/>
          <w:position w:val="0"/>
          <w:sz w:val="22"/>
          <w:shd w:fill="auto" w:val="clear"/>
        </w:rPr>
      </w:pPr>
    </w:p>
    <w:p>
      <w:pPr>
        <w:tabs>
          <w:tab w:val="left" w:pos="3256" w:leader="none"/>
        </w:tabs>
        <w:spacing w:before="0" w:after="200" w:line="276"/>
        <w:ind w:right="0" w:left="0" w:firstLine="0"/>
        <w:jc w:val="right"/>
        <w:rPr>
          <w:rFonts w:ascii="Calibri" w:hAnsi="Calibri" w:cs="Calibri" w:eastAsia="Calibri"/>
          <w:color w:val="auto"/>
          <w:spacing w:val="0"/>
          <w:position w:val="0"/>
          <w:sz w:val="22"/>
          <w:shd w:fill="auto" w:val="clear"/>
        </w:rPr>
      </w:pPr>
    </w:p>
    <w:p>
      <w:pPr>
        <w:tabs>
          <w:tab w:val="left" w:pos="3256" w:leader="none"/>
        </w:tabs>
        <w:spacing w:before="0" w:after="200" w:line="276"/>
        <w:ind w:right="0" w:left="0" w:firstLine="0"/>
        <w:jc w:val="right"/>
        <w:rPr>
          <w:rFonts w:ascii="Calibri" w:hAnsi="Calibri" w:cs="Calibri" w:eastAsia="Calibri"/>
          <w:color w:val="auto"/>
          <w:spacing w:val="0"/>
          <w:position w:val="0"/>
          <w:sz w:val="22"/>
          <w:shd w:fill="auto" w:val="clear"/>
        </w:rPr>
      </w:pPr>
    </w:p>
    <w:p>
      <w:pPr>
        <w:tabs>
          <w:tab w:val="left" w:pos="817" w:leader="none"/>
          <w:tab w:val="left" w:pos="1453" w:leader="none"/>
          <w:tab w:val="left" w:pos="3256" w:leader="none"/>
        </w:tabs>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2"/>
          <w:shd w:fill="auto" w:val="clear"/>
        </w:rPr>
        <w:tab/>
        <w:t xml:space="preserve">   </w:t>
        <w:tab/>
      </w:r>
    </w:p>
    <w:p>
      <w:pPr>
        <w:tabs>
          <w:tab w:val="left" w:pos="3256" w:leader="none"/>
        </w:tabs>
        <w:spacing w:before="0" w:after="200" w:line="276"/>
        <w:ind w:right="0" w:left="0" w:firstLine="0"/>
        <w:jc w:val="center"/>
        <w:rPr>
          <w:rFonts w:ascii="Calibri" w:hAnsi="Calibri" w:cs="Calibri" w:eastAsia="Calibri"/>
          <w:color w:val="auto"/>
          <w:spacing w:val="0"/>
          <w:position w:val="0"/>
          <w:sz w:val="16"/>
          <w:shd w:fill="auto" w:val="clear"/>
        </w:rPr>
      </w:pPr>
    </w:p>
    <w:p>
      <w:pPr>
        <w:tabs>
          <w:tab w:val="left" w:pos="3256" w:leader="none"/>
        </w:tabs>
        <w:spacing w:before="0" w:after="200" w:line="276"/>
        <w:ind w:right="0" w:left="0" w:firstLine="0"/>
        <w:jc w:val="center"/>
        <w:rPr>
          <w:rFonts w:ascii="Calibri" w:hAnsi="Calibri" w:cs="Calibri" w:eastAsia="Calibri"/>
          <w:color w:val="auto"/>
          <w:spacing w:val="0"/>
          <w:position w:val="0"/>
          <w:sz w:val="18"/>
          <w:shd w:fill="auto" w:val="clear"/>
        </w:rPr>
      </w:pPr>
    </w:p>
    <w:p>
      <w:pPr>
        <w:tabs>
          <w:tab w:val="left" w:pos="3256" w:leader="none"/>
        </w:tabs>
        <w:spacing w:before="0" w:after="200" w:line="276"/>
        <w:ind w:right="0" w:left="0" w:firstLine="0"/>
        <w:jc w:val="center"/>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Уважаемые господа!</w:t>
      </w:r>
    </w:p>
    <w:p>
      <w:pPr>
        <w:tabs>
          <w:tab w:val="left" w:pos="3256" w:leader="none"/>
        </w:tabs>
        <w:spacing w:before="0" w:after="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Наша организация учреждена в сентябре 2016 года в г. Созополе (республика Болгария) рядом футбольных федераций мира в целях развития массового спорта и, в первую очередь, футбола инвалидов, имеющих различные категории заболеваний. </w:t>
      </w:r>
    </w:p>
    <w:p>
      <w:pPr>
        <w:tabs>
          <w:tab w:val="left" w:pos="3256" w:leader="none"/>
        </w:tabs>
        <w:spacing w:before="0" w:after="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О масштабе проблемы свидетельствует  тот факт, что сегодня в мире количество людей с той или иной формой инвалидности составляет  один  миллион человек. При этом, ориентировочно, возраст каждого пятого инвалида не превышает 30 лет, а  более 100 миллионов -  дети.</w:t>
      </w:r>
    </w:p>
    <w:p>
      <w:pPr>
        <w:tabs>
          <w:tab w:val="left" w:pos="3256" w:leader="none"/>
        </w:tabs>
        <w:spacing w:before="0" w:after="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Однако в настоящее время организованным любительским футболом в мире охвачено немногим более 10 тысяч спортсменов из числа инвалидов. В связи с этим, развитие массового футбола людей с ограниченными возможностями обретает особый смысл, ибо увлечение футболом для многих инвалидов становится едва ли не единственным способом выхода из кризисного психического и эмоционального состояния.</w:t>
      </w:r>
    </w:p>
    <w:p>
      <w:pPr>
        <w:tabs>
          <w:tab w:val="left" w:pos="3256" w:leader="none"/>
        </w:tabs>
        <w:spacing w:before="0" w:after="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Одной из причин сложившейся ситуации, связанной с относительной малочисленностью футбола инвалидов, является отсутствие развитой системы мирового клубного футбола инвалидов.  В настоящее время в мировых первенствах участвуют лишь национальные сборные. И, как следствие, большая часть талантливых спортсменов - инвалидов находятся вне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большого</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спорта. Схема работы и проведения соревнований в рамках Всемирной Лиги Чемпионов среди клубных команд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Равные возможности</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позволяет в значительной мере устранить данную проблему. </w:t>
      </w:r>
    </w:p>
    <w:p>
      <w:pPr>
        <w:tabs>
          <w:tab w:val="left" w:pos="3256" w:leader="none"/>
        </w:tabs>
        <w:spacing w:before="0" w:after="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Огромный потенциал заложен в самой системе клубного футбола инвалидов, предусматривающей проведение чемпионатов по признаку различных видов заболеваний из числа национальных, континентальных клубов и розыгрыш мирового первенства среди них. Такой подход позволяет вовлечь в активное занятие массовым спортом десятки – сотни тысяч молодых людей, способствует их физической и социальной реабилитации.  </w:t>
      </w:r>
    </w:p>
    <w:p>
      <w:pPr>
        <w:tabs>
          <w:tab w:val="left" w:pos="3256" w:leader="none"/>
        </w:tabs>
        <w:spacing w:before="0" w:after="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Механизм реализации этой системы предусматривает многоуровневую схему построения, сопровождения и контроля основных мероприятий. Главными действующими органами, обеспечивающими этот процесс являются национальные и континентальные клубы чемпионов, профильные комитеты, Правление ВЛЧ. Наиболее важные системообразующие проекты и программы рассматриваются Конгрессом, Исполкомом ВЛЧ, Попечительским Советом. Такая конструкция обеспечивает эффективное стратегическое управление клубным мировым футболом, консолидирует интересы всех его субъектов. Все структуры, в зависимости от специфики решаемых задач, работают на возмездной и безвозмездной основе.</w:t>
      </w:r>
    </w:p>
    <w:p>
      <w:pPr>
        <w:tabs>
          <w:tab w:val="left" w:pos="3256" w:leader="none"/>
        </w:tabs>
        <w:spacing w:before="0" w:after="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Данная миссия выполнима лишь при наличии благотворительной и спонсорской поддержке. Учитывая ограниченность средств, поступающих из бюджетов национальных структур особо остро стоят вопросы финансового обеспечения. Затраты на организацию ежегодного чемпионата мира  составляет  около 870 тыс. евро. Каждый вложенный цент  оборачивается  неизмеримой, бесценной помощью людям, наполняя их жизнь новым содержанием. </w:t>
      </w:r>
    </w:p>
    <w:p>
      <w:pPr>
        <w:tabs>
          <w:tab w:val="left" w:pos="3256" w:leader="none"/>
        </w:tabs>
        <w:spacing w:before="0" w:after="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На наш скромный взгляд, спонсорская поддержка  мировых первенств футбола инвалидов - это убедительный информационный фактор развития Вашего бизнеса. Представляется уникальный шанс  войти в историю мирового футбола  первым, основным и бессменным меценатом, продемонстрировать всему миру, что и в наше сложное время есть место благородству.</w:t>
      </w:r>
    </w:p>
    <w:p>
      <w:pPr>
        <w:tabs>
          <w:tab w:val="left" w:pos="3256" w:leader="none"/>
          <w:tab w:val="left" w:pos="8770" w:leader="none"/>
        </w:tabs>
        <w:spacing w:before="0" w:after="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В тоже время, со своей стороны  мы имеем возможность предложить:</w:t>
        <w:tab/>
      </w:r>
    </w:p>
    <w:p>
      <w:pPr>
        <w:tabs>
          <w:tab w:val="left" w:pos="3256" w:leader="none"/>
        </w:tabs>
        <w:spacing w:before="0" w:after="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регулярные PR-акции по поддержанию позитивного имиджа спонсора в массовых коммуникациях; </w:t>
      </w:r>
    </w:p>
    <w:p>
      <w:pPr>
        <w:tabs>
          <w:tab w:val="left" w:pos="3256" w:leader="none"/>
        </w:tabs>
        <w:spacing w:before="0" w:after="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телерепортажи с участием спонсора на европейском и российском телевидении;                                                                                                              - организацию национальных, континентальных клубных чемпионатов  и мировых первенств среди клубных команд различных категорий инвалидов  со слоганом, например: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Чемпионат мира по футболу ампутантов – Кубок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Сименс</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Лукойл</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Ашан</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Пепси</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и т.д.);                              </w:t>
      </w:r>
    </w:p>
    <w:p>
      <w:pPr>
        <w:tabs>
          <w:tab w:val="left" w:pos="3256" w:leader="none"/>
        </w:tabs>
        <w:spacing w:before="0" w:after="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 </w:t>
      </w:r>
      <w:r>
        <w:rPr>
          <w:rFonts w:ascii="Calibri" w:hAnsi="Calibri" w:cs="Calibri" w:eastAsia="Calibri"/>
          <w:color w:val="auto"/>
          <w:spacing w:val="0"/>
          <w:position w:val="0"/>
          <w:sz w:val="18"/>
          <w:shd w:fill="auto" w:val="clear"/>
        </w:rPr>
        <w:t xml:space="preserve">создание в коллективах спонсора любительских футбольных команд, в том числе – молодых инвалидов, являющихся их работниками;</w:t>
      </w:r>
    </w:p>
    <w:p>
      <w:pPr>
        <w:tabs>
          <w:tab w:val="left" w:pos="3256" w:leader="none"/>
        </w:tabs>
        <w:spacing w:before="0" w:after="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реклама на веб-сайте каждого массового мероприятия;                                                                                                                                                                     - размещение логотипа Спонсора на официальном сайте Всемирной Лиги Чемпионов, национальной Федерации футбола инвалидов,  их фирменных бланках, баннерах, календарях, спортивной форме, снаряжении, спортинвентаре;                                                                                        - размещение на всех мероприятиях постоянно действующего рекламного модуля спонсора;                                                                                          - включение спонсора в наименование мероприятия, печатные материалы, пресс-релизы;                                                                                                      - участие руководства (представителей спонсора) в официальной церемонии открытия чемпионатов;                                                                              - размещение отдельных видов продукции или реклама услуг спонсора на период спортивных и иных мероприятий.                                                                                                                                                                  Кроме того, мы готовы предложить, предусмотренные для нас земельные участки под строительство уникального Международного Центра футбола инвалидов с гостиничным комплексом в одном из курортных городов черноморского побережья Болгарии, с целью совладения им на правах акционера и его последующего совместного использования. Примечательно, что заполнение отеля в период летнего сезона могло бы осуществляться отдыхающими, а в остальное время – участниками соревнований Всемирной Лиги Чемпионов.   </w:t>
      </w:r>
    </w:p>
    <w:p>
      <w:pPr>
        <w:tabs>
          <w:tab w:val="left" w:pos="3256" w:leader="none"/>
        </w:tabs>
        <w:spacing w:before="0" w:after="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Инвалиды нуждаются не в сострадании, а в реальной поддержке.        </w:t>
      </w:r>
    </w:p>
    <w:p>
      <w:pPr>
        <w:tabs>
          <w:tab w:val="left" w:pos="3256" w:leader="none"/>
        </w:tabs>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Мы с пониманием отнесемся к любому Вашему решению, однако были бы  безгранично признательны за оказанную помощь и поддержку существования и развития мирового футбола инвалидов.</w:t>
      </w:r>
    </w:p>
    <w:p>
      <w:pPr>
        <w:tabs>
          <w:tab w:val="left" w:pos="3256" w:leader="none"/>
        </w:tabs>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С уважением,</w:t>
      </w:r>
    </w:p>
    <w:p>
      <w:pPr>
        <w:tabs>
          <w:tab w:val="left" w:pos="3256" w:leader="none"/>
        </w:tabs>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Президент                                                                                                                                                Г.С. Луначарский</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